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FC" w:rsidRDefault="00AC781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F260FC" w:rsidRDefault="00F260F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260FC" w:rsidRDefault="00AC7817">
      <w:pPr>
        <w:spacing w:line="560" w:lineRule="exact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百色财校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2021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年深百“粤菜师傅”职业技能竞赛</w:t>
      </w:r>
    </w:p>
    <w:p w:rsidR="00F260FC" w:rsidRDefault="00AC7817">
      <w:pPr>
        <w:spacing w:line="560" w:lineRule="exact"/>
        <w:ind w:firstLineChars="200" w:firstLine="88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组委会及工作机构成员名单</w:t>
      </w:r>
    </w:p>
    <w:p w:rsidR="00F260FC" w:rsidRDefault="00F260FC" w:rsidP="0073131C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F260FC" w:rsidRDefault="00AC78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竞</w:t>
      </w:r>
      <w:r>
        <w:rPr>
          <w:rFonts w:ascii="黑体" w:eastAsia="黑体" w:hAnsi="黑体" w:hint="eastAsia"/>
          <w:sz w:val="32"/>
          <w:szCs w:val="32"/>
        </w:rPr>
        <w:t>赛组委会</w:t>
      </w:r>
    </w:p>
    <w:p w:rsidR="00F260FC" w:rsidRDefault="00AC7817">
      <w:pPr>
        <w:spacing w:line="560" w:lineRule="exact"/>
        <w:ind w:leftChars="304" w:left="3358" w:hangingChars="850" w:hanging="2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任：</w:t>
      </w:r>
    </w:p>
    <w:p w:rsidR="00F260FC" w:rsidRDefault="00AC7817" w:rsidP="0073131C">
      <w:pPr>
        <w:spacing w:line="560" w:lineRule="exact"/>
        <w:ind w:firstLineChars="200" w:firstLine="672"/>
        <w:rPr>
          <w:rFonts w:ascii="仿宋_GB2312" w:eastAsia="仿宋_GB2312" w:hAnsi="仿宋"/>
          <w:b/>
          <w:spacing w:val="-24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马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力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百色市教育局一级调研员</w:t>
      </w:r>
    </w:p>
    <w:p w:rsidR="00F260FC" w:rsidRDefault="00AC7817">
      <w:pPr>
        <w:spacing w:line="560" w:lineRule="exact"/>
        <w:ind w:leftChars="304" w:left="3358" w:hangingChars="850" w:hanging="2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副主任：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胡玉萍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百色财校副校长、工会主席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赖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东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深圳市海年职业技能培训学校校长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吴先用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百色财校副校长、党总支组织委员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黄妍精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百色财校党总支副书记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彭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涛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百色财校党总支宣传委员、宣传办负责人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</w:pPr>
      <w:r>
        <w:rPr>
          <w:rFonts w:ascii="仿宋_GB2312" w:eastAsia="仿宋_GB2312" w:hAnsi="仿宋" w:hint="eastAsia"/>
          <w:sz w:val="32"/>
          <w:szCs w:val="32"/>
        </w:rPr>
        <w:t>秦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瑾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百色财校党总支纪检委员、学生科副科长</w:t>
      </w:r>
    </w:p>
    <w:p w:rsidR="00F260FC" w:rsidRDefault="00AC7817">
      <w:pPr>
        <w:spacing w:line="560" w:lineRule="exact"/>
        <w:ind w:leftChars="304" w:left="3358" w:hangingChars="850" w:hanging="2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员：</w:t>
      </w:r>
    </w:p>
    <w:p w:rsidR="00F260FC" w:rsidRDefault="00AC7817" w:rsidP="0073131C">
      <w:pPr>
        <w:spacing w:line="560" w:lineRule="exact"/>
        <w:ind w:firstLineChars="200" w:firstLine="672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黄明疆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百色财校办公室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主任</w:t>
      </w:r>
    </w:p>
    <w:p w:rsidR="00F260FC" w:rsidRDefault="00AC7817" w:rsidP="0073131C">
      <w:pPr>
        <w:spacing w:line="560" w:lineRule="exact"/>
        <w:ind w:leftChars="304" w:left="3493" w:hangingChars="850" w:hanging="2855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唐桥连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百色财校保卫科科长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劳三凌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百色财校后勤科副科长</w:t>
      </w:r>
    </w:p>
    <w:p w:rsidR="00F260FC" w:rsidRDefault="00AC7817" w:rsidP="0073131C">
      <w:pPr>
        <w:spacing w:line="560" w:lineRule="exact"/>
        <w:ind w:firstLineChars="200" w:firstLine="672"/>
        <w:rPr>
          <w:rFonts w:ascii="仿宋_GB2312" w:eastAsia="仿宋_GB2312" w:hAnsi="仿宋"/>
          <w:spacing w:val="-2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黄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贤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百色财校办公室负责人</w:t>
      </w:r>
    </w:p>
    <w:p w:rsidR="00F260FC" w:rsidRDefault="00AC7817" w:rsidP="0073131C">
      <w:pPr>
        <w:spacing w:line="560" w:lineRule="exact"/>
        <w:ind w:leftChars="304" w:left="3493" w:hangingChars="850" w:hanging="2855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黄美峰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百色财校信息中心负责人</w:t>
      </w:r>
    </w:p>
    <w:p w:rsidR="00F260FC" w:rsidRDefault="00AC7817" w:rsidP="0073131C">
      <w:pPr>
        <w:pStyle w:val="a0"/>
        <w:spacing w:line="560" w:lineRule="exact"/>
        <w:ind w:firstLineChars="200" w:firstLine="672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王冉冉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百色财校财务室负责人</w:t>
      </w:r>
    </w:p>
    <w:p w:rsidR="00F260FC" w:rsidRDefault="00AC7817" w:rsidP="0073131C">
      <w:pPr>
        <w:pStyle w:val="a0"/>
        <w:spacing w:line="560" w:lineRule="exact"/>
        <w:ind w:firstLineChars="200" w:firstLine="672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潘建坤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百色财校学生科负责人</w:t>
      </w:r>
    </w:p>
    <w:p w:rsidR="00F260FC" w:rsidRDefault="00AC7817" w:rsidP="0073131C">
      <w:pPr>
        <w:spacing w:line="560" w:lineRule="exact"/>
        <w:ind w:leftChars="304" w:left="3493" w:hangingChars="850" w:hanging="2855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徐恬思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百色财校烹饪专业教研组组长</w:t>
      </w:r>
    </w:p>
    <w:p w:rsidR="00F260FC" w:rsidRDefault="00AC7817">
      <w:pPr>
        <w:tabs>
          <w:tab w:val="left" w:pos="567"/>
          <w:tab w:val="left" w:pos="1620"/>
          <w:tab w:val="left" w:pos="216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二、工作机构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竞</w:t>
      </w:r>
      <w:r>
        <w:rPr>
          <w:rFonts w:ascii="仿宋_GB2312" w:eastAsia="仿宋_GB2312" w:hAnsi="仿宋" w:hint="eastAsia"/>
          <w:sz w:val="32"/>
          <w:szCs w:val="32"/>
        </w:rPr>
        <w:t>赛组委会下设办公室（设在</w:t>
      </w:r>
      <w:r>
        <w:rPr>
          <w:rFonts w:ascii="仿宋_GB2312" w:eastAsia="仿宋_GB2312" w:hAnsi="仿宋" w:hint="eastAsia"/>
          <w:sz w:val="32"/>
          <w:szCs w:val="32"/>
        </w:rPr>
        <w:t>百色财校教务科</w:t>
      </w:r>
      <w:r>
        <w:rPr>
          <w:rFonts w:ascii="仿宋_GB2312" w:eastAsia="仿宋_GB2312" w:hAnsi="仿宋" w:hint="eastAsia"/>
          <w:sz w:val="32"/>
          <w:szCs w:val="32"/>
        </w:rPr>
        <w:t>），负责大赛的日常事务。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196" w:firstLine="65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主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任：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</w:rPr>
        <w:t>黄妍精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196" w:firstLine="659"/>
        <w:rPr>
          <w:rFonts w:ascii="仿宋_GB2312" w:eastAsia="仿宋_GB2312" w:hAnsi="仿宋" w:cs="仿宋_GB2312"/>
          <w:b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副主任：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徐恬思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196" w:firstLine="659"/>
        <w:rPr>
          <w:rFonts w:ascii="仿宋_GB2312" w:eastAsia="仿宋_GB2312" w:hAnsi="仿宋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成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员：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烹饪专业教研组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</w:rPr>
        <w:t>全体人员。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196" w:firstLine="659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职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责：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筹划方案，统筹协调，对外联络，承担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竞赛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组委会日常工作。</w:t>
      </w:r>
      <w:r>
        <w:rPr>
          <w:rFonts w:ascii="仿宋_GB2312" w:eastAsia="仿宋_GB2312" w:hAnsi="仿宋" w:hint="eastAsia"/>
          <w:sz w:val="32"/>
          <w:szCs w:val="32"/>
        </w:rPr>
        <w:t>大赛组委会办公室下设五个工作组：</w:t>
      </w:r>
    </w:p>
    <w:p w:rsidR="00F260FC" w:rsidRDefault="00AC7817">
      <w:pPr>
        <w:autoSpaceDE w:val="0"/>
        <w:autoSpaceDN w:val="0"/>
        <w:adjustRightInd w:val="0"/>
        <w:spacing w:line="560" w:lineRule="exact"/>
        <w:ind w:firstLineChars="150" w:firstLine="482"/>
        <w:jc w:val="left"/>
        <w:rPr>
          <w:rFonts w:ascii="楷体_GB2312" w:eastAsia="楷体_GB2312" w:hAnsi="仿宋" w:cs="黑体"/>
          <w:b/>
          <w:kern w:val="0"/>
          <w:sz w:val="32"/>
          <w:szCs w:val="32"/>
        </w:rPr>
      </w:pPr>
      <w:r>
        <w:rPr>
          <w:rFonts w:ascii="楷体_GB2312" w:eastAsia="楷体_GB2312" w:hAnsi="仿宋" w:cs="黑体" w:hint="eastAsia"/>
          <w:b/>
          <w:kern w:val="0"/>
          <w:sz w:val="32"/>
          <w:szCs w:val="32"/>
        </w:rPr>
        <w:t>（一）综合协调组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组</w:t>
      </w:r>
      <w:r>
        <w:rPr>
          <w:rFonts w:ascii="仿宋_GB2312" w:eastAsia="仿宋_GB2312" w:hAnsi="仿宋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>长：</w:t>
      </w:r>
      <w:r>
        <w:rPr>
          <w:rFonts w:ascii="仿宋_GB2312" w:eastAsia="仿宋_GB2312" w:hAnsi="仿宋" w:hint="eastAsia"/>
          <w:bCs/>
          <w:sz w:val="32"/>
          <w:szCs w:val="32"/>
        </w:rPr>
        <w:t>黄明疆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副组长：</w:t>
      </w:r>
      <w:r>
        <w:rPr>
          <w:rFonts w:ascii="仿宋_GB2312" w:eastAsia="仿宋_GB2312" w:hAnsi="仿宋" w:hint="eastAsia"/>
          <w:sz w:val="32"/>
          <w:szCs w:val="32"/>
        </w:rPr>
        <w:t>黄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贤</w:t>
      </w:r>
      <w:r>
        <w:rPr>
          <w:rFonts w:ascii="仿宋_GB2312" w:eastAsia="仿宋_GB2312" w:hAnsi="仿宋" w:hint="eastAsia"/>
          <w:sz w:val="32"/>
          <w:szCs w:val="32"/>
        </w:rPr>
        <w:t>（兼）</w:t>
      </w:r>
      <w:r>
        <w:rPr>
          <w:rFonts w:ascii="仿宋_GB2312" w:eastAsia="仿宋_GB2312" w:hAnsi="仿宋"/>
          <w:b/>
          <w:sz w:val="32"/>
          <w:szCs w:val="32"/>
        </w:rPr>
        <w:t xml:space="preserve">        </w:t>
      </w:r>
    </w:p>
    <w:p w:rsidR="00F260FC" w:rsidRDefault="00AC7817" w:rsidP="0073131C">
      <w:pPr>
        <w:spacing w:line="560" w:lineRule="exact"/>
        <w:ind w:firstLineChars="20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成</w:t>
      </w:r>
      <w:r>
        <w:rPr>
          <w:rFonts w:ascii="仿宋_GB2312" w:eastAsia="仿宋_GB2312" w:hAnsi="仿宋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>员：</w:t>
      </w:r>
      <w:r>
        <w:rPr>
          <w:rFonts w:ascii="仿宋_GB2312" w:eastAsia="仿宋_GB2312" w:hAnsi="仿宋" w:hint="eastAsia"/>
          <w:bCs/>
          <w:sz w:val="32"/>
          <w:szCs w:val="32"/>
        </w:rPr>
        <w:t>百色财校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办公室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全体工作人员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F260FC" w:rsidRDefault="00AC7817" w:rsidP="0073131C">
      <w:pPr>
        <w:spacing w:line="560" w:lineRule="exact"/>
        <w:ind w:firstLineChars="200" w:firstLine="6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职</w:t>
      </w:r>
      <w:r>
        <w:rPr>
          <w:rFonts w:ascii="仿宋_GB2312" w:eastAsia="仿宋_GB2312" w:hAnsi="仿宋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>责</w:t>
      </w:r>
      <w:r>
        <w:rPr>
          <w:rFonts w:ascii="仿宋_GB2312" w:eastAsia="仿宋_GB2312" w:hAnsi="仿宋" w:hint="eastAsia"/>
          <w:sz w:val="32"/>
          <w:szCs w:val="32"/>
        </w:rPr>
        <w:t>：具体负责总体方案的制定，牵头成立</w:t>
      </w:r>
      <w:r>
        <w:rPr>
          <w:rFonts w:ascii="仿宋_GB2312" w:eastAsia="仿宋_GB2312" w:hAnsi="仿宋" w:hint="eastAsia"/>
          <w:sz w:val="32"/>
          <w:szCs w:val="32"/>
        </w:rPr>
        <w:t>竞赛</w:t>
      </w:r>
      <w:r>
        <w:rPr>
          <w:rFonts w:ascii="仿宋_GB2312" w:eastAsia="仿宋_GB2312" w:hAnsi="仿宋" w:hint="eastAsia"/>
          <w:sz w:val="32"/>
          <w:szCs w:val="32"/>
        </w:rPr>
        <w:t>组委会，对</w:t>
      </w:r>
      <w:r>
        <w:rPr>
          <w:rFonts w:ascii="仿宋_GB2312" w:eastAsia="仿宋_GB2312" w:hAnsi="仿宋" w:hint="eastAsia"/>
          <w:sz w:val="32"/>
          <w:szCs w:val="32"/>
        </w:rPr>
        <w:t>竞赛</w:t>
      </w:r>
      <w:r>
        <w:rPr>
          <w:rFonts w:ascii="仿宋_GB2312" w:eastAsia="仿宋_GB2312" w:hAnsi="仿宋" w:hint="eastAsia"/>
          <w:sz w:val="32"/>
          <w:szCs w:val="32"/>
        </w:rPr>
        <w:t>全程进行统筹协调、对外联络、指导和监督；起草运转大赛的相关文件及通知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F260FC" w:rsidRDefault="00AC7817">
      <w:pPr>
        <w:autoSpaceDE w:val="0"/>
        <w:autoSpaceDN w:val="0"/>
        <w:adjustRightInd w:val="0"/>
        <w:spacing w:line="560" w:lineRule="exact"/>
        <w:ind w:firstLineChars="150" w:firstLine="482"/>
        <w:jc w:val="left"/>
        <w:rPr>
          <w:rFonts w:ascii="楷体_GB2312" w:eastAsia="楷体_GB2312" w:hAnsi="仿宋" w:cs="黑体"/>
          <w:b/>
          <w:kern w:val="0"/>
          <w:sz w:val="32"/>
          <w:szCs w:val="32"/>
        </w:rPr>
      </w:pPr>
      <w:r>
        <w:rPr>
          <w:rFonts w:ascii="楷体_GB2312" w:eastAsia="楷体_GB2312" w:hAnsi="仿宋" w:cs="黑体" w:hint="eastAsia"/>
          <w:b/>
          <w:kern w:val="0"/>
          <w:sz w:val="32"/>
          <w:szCs w:val="32"/>
        </w:rPr>
        <w:t>（二）竞赛组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组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长：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赖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东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副组长：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梁武卷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成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员：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从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</w:rPr>
        <w:t>百色财校教务科、烹饪专业组，海年职校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</w:rPr>
        <w:t>抽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调人员参加。</w:t>
      </w:r>
    </w:p>
    <w:p w:rsidR="00F260FC" w:rsidRDefault="00AC7817" w:rsidP="0073131C">
      <w:pPr>
        <w:autoSpaceDE w:val="0"/>
        <w:autoSpaceDN w:val="0"/>
        <w:adjustRightInd w:val="0"/>
        <w:spacing w:line="560" w:lineRule="exact"/>
        <w:ind w:firstLineChars="196" w:firstLine="659"/>
        <w:jc w:val="left"/>
        <w:rPr>
          <w:rFonts w:ascii="仿宋_GB2312" w:eastAsia="仿宋_GB2312" w:hAnsi="仿宋" w:cs="仿宋_GB2312"/>
          <w:b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职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责：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审定各项比赛项目的比赛方法、竞赛规则和评分细则，组织裁判、监督工作，准备比赛器材、制发资格证书，负责参赛选手资格审查，组织比赛。</w:t>
      </w:r>
    </w:p>
    <w:p w:rsidR="00F260FC" w:rsidRDefault="00AC7817">
      <w:pPr>
        <w:autoSpaceDE w:val="0"/>
        <w:autoSpaceDN w:val="0"/>
        <w:adjustRightInd w:val="0"/>
        <w:spacing w:line="560" w:lineRule="exact"/>
        <w:ind w:firstLineChars="150" w:firstLine="482"/>
        <w:jc w:val="left"/>
        <w:rPr>
          <w:rFonts w:ascii="楷体_GB2312" w:eastAsia="楷体_GB2312" w:hAnsi="仿宋" w:cs="黑体"/>
          <w:b/>
          <w:kern w:val="0"/>
          <w:sz w:val="32"/>
          <w:szCs w:val="32"/>
        </w:rPr>
      </w:pPr>
      <w:r>
        <w:rPr>
          <w:rFonts w:ascii="楷体_GB2312" w:eastAsia="楷体_GB2312" w:hAnsi="仿宋" w:cs="黑体" w:hint="eastAsia"/>
          <w:b/>
          <w:kern w:val="0"/>
          <w:sz w:val="32"/>
          <w:szCs w:val="32"/>
        </w:rPr>
        <w:t>（三）宣传组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组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长：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彭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涛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200" w:firstLine="672"/>
        <w:rPr>
          <w:rFonts w:ascii="仿宋_GB2312" w:eastAsia="仿宋_GB2312" w:hAnsi="仿宋" w:cs="仿宋_GB2312"/>
          <w:spacing w:val="-2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副组长：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</w:rPr>
        <w:t>陆正佶</w:t>
      </w:r>
    </w:p>
    <w:p w:rsidR="00F260FC" w:rsidRDefault="00AC7817" w:rsidP="0073131C">
      <w:pPr>
        <w:autoSpaceDE w:val="0"/>
        <w:autoSpaceDN w:val="0"/>
        <w:adjustRightInd w:val="0"/>
        <w:spacing w:line="560" w:lineRule="exact"/>
        <w:ind w:firstLineChars="196" w:firstLine="659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lastRenderedPageBreak/>
        <w:t>成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员：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宣传办全体工作人员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F260FC" w:rsidRDefault="00AC7817" w:rsidP="0073131C">
      <w:pPr>
        <w:autoSpaceDE w:val="0"/>
        <w:autoSpaceDN w:val="0"/>
        <w:adjustRightInd w:val="0"/>
        <w:spacing w:line="560" w:lineRule="exact"/>
        <w:ind w:firstLineChars="196" w:firstLine="659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职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责：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</w:rPr>
        <w:t>全面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组织宣传报道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工作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F260FC" w:rsidRDefault="00AC7817">
      <w:pPr>
        <w:autoSpaceDE w:val="0"/>
        <w:autoSpaceDN w:val="0"/>
        <w:adjustRightInd w:val="0"/>
        <w:spacing w:line="560" w:lineRule="exact"/>
        <w:ind w:firstLineChars="150" w:firstLine="482"/>
        <w:jc w:val="left"/>
        <w:rPr>
          <w:rFonts w:ascii="楷体_GB2312" w:eastAsia="楷体_GB2312" w:hAnsi="仿宋" w:cs="黑体"/>
          <w:b/>
          <w:kern w:val="0"/>
          <w:sz w:val="32"/>
          <w:szCs w:val="32"/>
        </w:rPr>
      </w:pPr>
      <w:r>
        <w:rPr>
          <w:rFonts w:ascii="楷体_GB2312" w:eastAsia="楷体_GB2312" w:hAnsi="仿宋" w:cs="黑体" w:hint="eastAsia"/>
          <w:b/>
          <w:kern w:val="0"/>
          <w:sz w:val="32"/>
          <w:szCs w:val="32"/>
        </w:rPr>
        <w:t>（四）资金保障组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196" w:firstLine="659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组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长：</w:t>
      </w:r>
      <w:r>
        <w:rPr>
          <w:rFonts w:ascii="仿宋_GB2312" w:eastAsia="仿宋_GB2312" w:hAnsi="仿宋" w:hint="eastAsia"/>
          <w:sz w:val="32"/>
          <w:szCs w:val="32"/>
        </w:rPr>
        <w:t>黄妍精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196" w:firstLine="659"/>
        <w:rPr>
          <w:rFonts w:ascii="仿宋_GB2312" w:eastAsia="仿宋_GB2312" w:hAnsi="仿宋" w:cs="仿宋_GB2312"/>
          <w:b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副组长：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</w:rPr>
        <w:t>王冉冉（兼）</w:t>
      </w:r>
    </w:p>
    <w:p w:rsidR="00F260FC" w:rsidRDefault="00AC7817" w:rsidP="0073131C">
      <w:pPr>
        <w:tabs>
          <w:tab w:val="left" w:pos="567"/>
        </w:tabs>
        <w:spacing w:line="560" w:lineRule="exact"/>
        <w:ind w:firstLineChars="196" w:firstLine="659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成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员：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百色财校财务室全体工作人员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F260FC" w:rsidRDefault="00AC7817" w:rsidP="0073131C">
      <w:pPr>
        <w:autoSpaceDE w:val="0"/>
        <w:autoSpaceDN w:val="0"/>
        <w:adjustRightInd w:val="0"/>
        <w:spacing w:line="560" w:lineRule="exact"/>
        <w:ind w:firstLineChars="216" w:firstLine="726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职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责：</w:t>
      </w:r>
      <w:r>
        <w:rPr>
          <w:rFonts w:ascii="仿宋_GB2312" w:eastAsia="仿宋_GB2312" w:hAnsi="仿宋" w:hint="eastAsia"/>
          <w:sz w:val="32"/>
          <w:szCs w:val="32"/>
        </w:rPr>
        <w:t>负责比赛资金筹集、投入与管理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等财务工作。</w:t>
      </w:r>
    </w:p>
    <w:p w:rsidR="00F260FC" w:rsidRDefault="00AC7817">
      <w:pPr>
        <w:autoSpaceDE w:val="0"/>
        <w:autoSpaceDN w:val="0"/>
        <w:adjustRightInd w:val="0"/>
        <w:spacing w:line="560" w:lineRule="exact"/>
        <w:ind w:firstLineChars="150" w:firstLine="482"/>
        <w:jc w:val="left"/>
        <w:rPr>
          <w:rFonts w:ascii="楷体_GB2312" w:eastAsia="楷体_GB2312" w:hAnsi="仿宋" w:cs="黑体"/>
          <w:b/>
          <w:kern w:val="0"/>
          <w:sz w:val="32"/>
          <w:szCs w:val="32"/>
        </w:rPr>
      </w:pPr>
      <w:r>
        <w:rPr>
          <w:rFonts w:ascii="楷体_GB2312" w:eastAsia="楷体_GB2312" w:hAnsi="仿宋" w:cs="黑体" w:hint="eastAsia"/>
          <w:b/>
          <w:kern w:val="0"/>
          <w:sz w:val="32"/>
          <w:szCs w:val="32"/>
        </w:rPr>
        <w:t>（五）后勤组</w:t>
      </w:r>
    </w:p>
    <w:p w:rsidR="00F260FC" w:rsidRDefault="00AC7817" w:rsidP="0073131C">
      <w:pPr>
        <w:autoSpaceDE w:val="0"/>
        <w:autoSpaceDN w:val="0"/>
        <w:adjustRightInd w:val="0"/>
        <w:spacing w:line="560" w:lineRule="exact"/>
        <w:ind w:firstLineChars="196" w:firstLine="659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组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长：</w:t>
      </w:r>
      <w:r>
        <w:rPr>
          <w:rFonts w:ascii="仿宋_GB2312" w:eastAsia="仿宋_GB2312" w:hAnsi="仿宋" w:cs="仿宋_GB2312" w:hint="eastAsia"/>
          <w:spacing w:val="-10"/>
          <w:kern w:val="0"/>
          <w:sz w:val="32"/>
          <w:szCs w:val="32"/>
        </w:rPr>
        <w:t>黄妍精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</w:p>
    <w:p w:rsidR="00F260FC" w:rsidRDefault="00AC7817" w:rsidP="0073131C">
      <w:pPr>
        <w:autoSpaceDE w:val="0"/>
        <w:autoSpaceDN w:val="0"/>
        <w:adjustRightInd w:val="0"/>
        <w:spacing w:line="560" w:lineRule="exact"/>
        <w:ind w:firstLineChars="196" w:firstLine="659"/>
        <w:jc w:val="left"/>
        <w:rPr>
          <w:rFonts w:ascii="仿宋_GB2312" w:eastAsia="仿宋_GB2312" w:hAnsi="仿宋" w:cs="仿宋_GB2312"/>
          <w:spacing w:val="-2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副组长：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</w:rPr>
        <w:t>劳三凌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</w:p>
    <w:p w:rsidR="00F260FC" w:rsidRDefault="00AC7817" w:rsidP="0073131C">
      <w:pPr>
        <w:autoSpaceDE w:val="0"/>
        <w:autoSpaceDN w:val="0"/>
        <w:adjustRightInd w:val="0"/>
        <w:spacing w:line="560" w:lineRule="exact"/>
        <w:ind w:firstLineChars="198" w:firstLine="665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成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员：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后勤科全体工作人员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F260FC" w:rsidRDefault="00AC7817" w:rsidP="0073131C">
      <w:pPr>
        <w:spacing w:line="560" w:lineRule="exact"/>
        <w:ind w:firstLineChars="200" w:firstLine="672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职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责：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负责制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比赛期间的后勤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保障工作。</w:t>
      </w:r>
    </w:p>
    <w:p w:rsidR="00F260FC" w:rsidRDefault="00AC7817">
      <w:pPr>
        <w:autoSpaceDE w:val="0"/>
        <w:autoSpaceDN w:val="0"/>
        <w:adjustRightInd w:val="0"/>
        <w:spacing w:line="560" w:lineRule="exact"/>
        <w:ind w:firstLineChars="150" w:firstLine="482"/>
        <w:jc w:val="left"/>
        <w:rPr>
          <w:rFonts w:ascii="楷体_GB2312" w:eastAsia="楷体_GB2312" w:hAnsi="仿宋" w:cs="黑体"/>
          <w:b/>
          <w:kern w:val="0"/>
          <w:sz w:val="32"/>
          <w:szCs w:val="32"/>
        </w:rPr>
      </w:pPr>
      <w:r>
        <w:rPr>
          <w:rFonts w:ascii="楷体_GB2312" w:eastAsia="楷体_GB2312" w:hAnsi="仿宋" w:cs="黑体" w:hint="eastAsia"/>
          <w:b/>
          <w:kern w:val="0"/>
          <w:sz w:val="32"/>
          <w:szCs w:val="32"/>
        </w:rPr>
        <w:t>（</w:t>
      </w:r>
      <w:r>
        <w:rPr>
          <w:rFonts w:ascii="楷体_GB2312" w:eastAsia="楷体_GB2312" w:hAnsi="仿宋" w:cs="黑体" w:hint="eastAsia"/>
          <w:b/>
          <w:kern w:val="0"/>
          <w:sz w:val="32"/>
          <w:szCs w:val="32"/>
        </w:rPr>
        <w:t>六</w:t>
      </w:r>
      <w:r>
        <w:rPr>
          <w:rFonts w:ascii="楷体_GB2312" w:eastAsia="楷体_GB2312" w:hAnsi="仿宋" w:cs="黑体" w:hint="eastAsia"/>
          <w:b/>
          <w:kern w:val="0"/>
          <w:sz w:val="32"/>
          <w:szCs w:val="32"/>
        </w:rPr>
        <w:t>）</w:t>
      </w:r>
      <w:r>
        <w:rPr>
          <w:rFonts w:ascii="楷体_GB2312" w:eastAsia="楷体_GB2312" w:hAnsi="仿宋" w:cs="黑体" w:hint="eastAsia"/>
          <w:b/>
          <w:kern w:val="0"/>
          <w:sz w:val="32"/>
          <w:szCs w:val="32"/>
        </w:rPr>
        <w:t>安保</w:t>
      </w:r>
      <w:r>
        <w:rPr>
          <w:rFonts w:ascii="楷体_GB2312" w:eastAsia="楷体_GB2312" w:hAnsi="仿宋" w:cs="黑体" w:hint="eastAsia"/>
          <w:b/>
          <w:kern w:val="0"/>
          <w:sz w:val="32"/>
          <w:szCs w:val="32"/>
        </w:rPr>
        <w:t>组</w:t>
      </w:r>
    </w:p>
    <w:p w:rsidR="00F260FC" w:rsidRDefault="00AC7817" w:rsidP="0073131C">
      <w:pPr>
        <w:autoSpaceDE w:val="0"/>
        <w:autoSpaceDN w:val="0"/>
        <w:adjustRightInd w:val="0"/>
        <w:spacing w:line="560" w:lineRule="exact"/>
        <w:ind w:firstLineChars="196" w:firstLine="659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组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长：</w:t>
      </w:r>
      <w:r>
        <w:rPr>
          <w:rFonts w:ascii="仿宋_GB2312" w:eastAsia="仿宋_GB2312" w:hAnsi="仿宋" w:cs="仿宋_GB2312" w:hint="eastAsia"/>
          <w:spacing w:val="-10"/>
          <w:kern w:val="0"/>
          <w:sz w:val="32"/>
          <w:szCs w:val="32"/>
        </w:rPr>
        <w:t>吴先用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</w:p>
    <w:p w:rsidR="00F260FC" w:rsidRDefault="00AC7817" w:rsidP="0073131C">
      <w:pPr>
        <w:autoSpaceDE w:val="0"/>
        <w:autoSpaceDN w:val="0"/>
        <w:adjustRightInd w:val="0"/>
        <w:spacing w:line="560" w:lineRule="exact"/>
        <w:ind w:firstLineChars="196" w:firstLine="659"/>
        <w:jc w:val="left"/>
        <w:rPr>
          <w:rFonts w:ascii="仿宋_GB2312" w:eastAsia="仿宋_GB2312" w:hAnsi="仿宋" w:cs="仿宋_GB2312"/>
          <w:spacing w:val="-2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副组长：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</w:rPr>
        <w:t>唐桥连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</w:rPr>
        <w:t>潘建坤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（兼）</w:t>
      </w:r>
    </w:p>
    <w:p w:rsidR="00F260FC" w:rsidRDefault="00AC7817" w:rsidP="0073131C">
      <w:pPr>
        <w:autoSpaceDE w:val="0"/>
        <w:autoSpaceDN w:val="0"/>
        <w:adjustRightInd w:val="0"/>
        <w:spacing w:line="560" w:lineRule="exact"/>
        <w:ind w:firstLineChars="198" w:firstLine="665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成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员：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</w:rPr>
        <w:t>保卫科、学生科全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体工作人员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F260FC" w:rsidRDefault="00AC7817" w:rsidP="0073131C">
      <w:pPr>
        <w:spacing w:line="560" w:lineRule="exact"/>
        <w:ind w:firstLineChars="200" w:firstLine="672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职</w:t>
      </w:r>
      <w:r>
        <w:rPr>
          <w:rFonts w:ascii="仿宋_GB2312" w:eastAsia="仿宋_GB2312" w:hAnsi="仿宋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责：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负责制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比赛期间的安全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保障工作。</w:t>
      </w:r>
    </w:p>
    <w:p w:rsidR="00F260FC" w:rsidRDefault="00F260FC">
      <w:pPr>
        <w:pStyle w:val="a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F260FC" w:rsidRDefault="00F260FC">
      <w:pPr>
        <w:pStyle w:val="a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F260FC" w:rsidRDefault="00F260FC">
      <w:pPr>
        <w:pStyle w:val="a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F260FC" w:rsidRDefault="00F260FC">
      <w:pPr>
        <w:pStyle w:val="a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F260FC" w:rsidRDefault="00F260FC">
      <w:pPr>
        <w:pStyle w:val="a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F260FC" w:rsidRDefault="00F260FC">
      <w:pPr>
        <w:pStyle w:val="a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F260FC" w:rsidRDefault="00F260FC">
      <w:pPr>
        <w:pStyle w:val="a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F260FC" w:rsidRDefault="00F260FC">
      <w:pPr>
        <w:pStyle w:val="a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F260FC" w:rsidRDefault="00AC7817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260FC" w:rsidRDefault="00AC7817">
      <w:pPr>
        <w:adjustRightInd w:val="0"/>
        <w:snapToGrid w:val="0"/>
        <w:spacing w:line="580" w:lineRule="exact"/>
        <w:rPr>
          <w:rFonts w:asciiTheme="majorEastAsia" w:eastAsiaTheme="majorEastAsia" w:hAnsiTheme="majorEastAsia" w:cstheme="majorEastAsia"/>
          <w:spacing w:val="-2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百色财校</w:t>
      </w: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2021</w:t>
      </w: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年深百“粤菜师傅”职业技能</w:t>
      </w: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竞赛</w:t>
      </w:r>
    </w:p>
    <w:p w:rsidR="00F260FC" w:rsidRDefault="00AC7817">
      <w:pPr>
        <w:adjustRightInd w:val="0"/>
        <w:snapToGrid w:val="0"/>
        <w:spacing w:line="580" w:lineRule="exact"/>
        <w:ind w:firstLineChars="100" w:firstLine="44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中式烹饪考核标准</w:t>
      </w:r>
    </w:p>
    <w:p w:rsidR="00F260FC" w:rsidRDefault="00F260FC">
      <w:pPr>
        <w:pStyle w:val="a0"/>
      </w:pPr>
    </w:p>
    <w:tbl>
      <w:tblPr>
        <w:tblW w:w="8792" w:type="dxa"/>
        <w:tblInd w:w="80" w:type="dxa"/>
        <w:tblLayout w:type="fixed"/>
        <w:tblLook w:val="04A0"/>
      </w:tblPr>
      <w:tblGrid>
        <w:gridCol w:w="932"/>
        <w:gridCol w:w="6255"/>
        <w:gridCol w:w="825"/>
        <w:gridCol w:w="780"/>
      </w:tblGrid>
      <w:tr w:rsidR="00F260FC">
        <w:trPr>
          <w:trHeight w:val="68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竞赛项目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比重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占比</w:t>
            </w:r>
          </w:p>
        </w:tc>
      </w:tr>
      <w:tr w:rsidR="00F260FC">
        <w:trPr>
          <w:trHeight w:val="660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（炒三丝）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刀工细腻，做到厉行节约、物尽其用、利用率高（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分）；成品均匀度高，长短粗细一致（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分）；厨师动作利落、下刀稳健（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占实操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总成绩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50%</w:t>
            </w:r>
          </w:p>
        </w:tc>
      </w:tr>
      <w:tr w:rsidR="00F260FC">
        <w:trPr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口味：调味适口，口味纯正，主味突出，味道鲜美，翻炒得当，整体味道均匀。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质感：选料精细，运用火候得当，质感鲜明，符合该菜肴应有的嫩、滑、爽、脆等个性特点。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色泽（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分）：色泽鲜明悦目，色调明快自然，汁芡适度。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装盘与卫生：讲究用料绿色环保，食品营养健康，装盘自然且富有设计感，餐具与菜肴相得益彰，同时注重餐具器皿卫生。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工艺水平：制作工艺水平高，菜品有创新，使用食材原料或菜肴风味有显著特点，符合该菜品的设计理念。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660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自选品种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口味：调味适口，口味纯正，主味突出，味道鲜美。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占实操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总成绩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50%</w:t>
            </w:r>
          </w:p>
        </w:tc>
      </w:tr>
      <w:tr w:rsidR="00F260FC">
        <w:trPr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质感：选料精细，运用火候得当，质感鲜明，符合该菜肴应有的嫩、滑、爽、脆、软、酥等个性特点。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形态：用料搭配合理，成品数量（份量）适当，刀工细腻，刀面光洁，大小合理匀称，造型自然美观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色泽：色泽鲜明悦目，色调明快自然，汁芡适度。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装盘与卫生：讲究用料绿色环保，食品营养健康，装盘自然且富有设计感，餐具与菜肴相得益彰，同时注重餐具器皿卫生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、工艺水平：制作工艺水平高，菜品有创新，使用食材原料或菜肴风味有显著特点，符合该菜品的设计理念。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特色：充分运用农家鸡食材特点，做出扶贫特色，助力脱贫攻坚。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530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扣分项</w:t>
            </w:r>
          </w:p>
        </w:tc>
        <w:tc>
          <w:tcPr>
            <w:tcW w:w="7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、操作卫生。操作过程中生熟不分离、台面脏乱等不卫生行为扣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</w:p>
        </w:tc>
      </w:tr>
      <w:tr w:rsidR="00F260FC">
        <w:trPr>
          <w:trHeight w:val="425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、操作安全。不规范操作导致设备损坏，或发生重大安全事故扣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10-100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</w:p>
        </w:tc>
      </w:tr>
      <w:tr w:rsidR="00F260FC">
        <w:trPr>
          <w:trHeight w:val="455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、操作手法熟练程度。操作手法不规范，熟练程度差扣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5-25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</w:p>
        </w:tc>
      </w:tr>
      <w:tr w:rsidR="00F260FC">
        <w:trPr>
          <w:trHeight w:val="485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、原材料使用合理。原材料剩余过多或废弃扔入垃圾桶扣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5-25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</w:p>
        </w:tc>
      </w:tr>
      <w:tr w:rsidR="00F260FC">
        <w:trPr>
          <w:trHeight w:val="42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、个人仪容仪表。工作服装、帽子穿戴不整洁，留长指甲扣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5-15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</w:tr>
    </w:tbl>
    <w:p w:rsidR="00F260FC" w:rsidRDefault="00AC7817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F260FC" w:rsidRDefault="00AC7817">
      <w:pPr>
        <w:adjustRightInd w:val="0"/>
        <w:snapToGrid w:val="0"/>
        <w:spacing w:line="580" w:lineRule="exact"/>
        <w:rPr>
          <w:rFonts w:asciiTheme="majorEastAsia" w:eastAsiaTheme="majorEastAsia" w:hAnsiTheme="majorEastAsia" w:cstheme="majorEastAsia"/>
          <w:spacing w:val="-2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百色财校</w:t>
      </w: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2021</w:t>
      </w: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年深百“粤菜师傅”职业技能</w:t>
      </w: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竞赛</w:t>
      </w:r>
    </w:p>
    <w:p w:rsidR="00F260FC" w:rsidRDefault="00AC7817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theme="majorEastAsia"/>
          <w:spacing w:val="-2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中式面点考核标准</w:t>
      </w:r>
    </w:p>
    <w:tbl>
      <w:tblPr>
        <w:tblpPr w:leftFromText="180" w:rightFromText="180" w:vertAnchor="text" w:horzAnchor="page" w:tblpX="1742" w:tblpY="84"/>
        <w:tblOverlap w:val="never"/>
        <w:tblW w:w="8760" w:type="dxa"/>
        <w:tblLayout w:type="fixed"/>
        <w:tblLook w:val="04A0"/>
      </w:tblPr>
      <w:tblGrid>
        <w:gridCol w:w="750"/>
        <w:gridCol w:w="6780"/>
        <w:gridCol w:w="570"/>
        <w:gridCol w:w="660"/>
      </w:tblGrid>
      <w:tr w:rsidR="00F260FC">
        <w:trPr>
          <w:trHeight w:val="77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竞赛项目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比重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占比</w:t>
            </w:r>
          </w:p>
        </w:tc>
      </w:tr>
      <w:tr w:rsidR="00F260FC">
        <w:trPr>
          <w:trHeight w:val="50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桂花糕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、质感：成品成熟、有光泽、面皮晶莹通透；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占实操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总成绩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50%</w:t>
            </w: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、观感：造型美观、工艺精细、摺纹清晰、大小均匀；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、味感：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香甜可口，细腻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、装盘：搭配得当、有创意、装盘装饰美观；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、卫生：讲究食品营养卫生、个人卫生、场地操作卫生、器皿卫生及绿色环保。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50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自选品种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、观感：数量符合要求，形态优美自然，符合菜点本身应用的色泽，感观正常；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占实操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总成绩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50%</w:t>
            </w: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、质感、味感：味道适合食材应有味感，调味适当，味性正常，味道鲜美芳香；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、工艺创新：作品构思新颖，特色突出，做工精细，可应用性强；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、营养价值：生熟分开，营养配比合理，不可使用人造色素和不可食用的物品；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、装盘：搭配得当，有创意，装盘美观，数量准确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;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、卫生：讲究食品营养卫生、个人卫生、场地操作卫生、器皿卫生及绿色环保。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60FC">
        <w:trPr>
          <w:trHeight w:val="50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扣分项</w:t>
            </w: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、操作卫生。操作过程中生熟不分离、台面脏乱等不卫生行为扣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、操作安全。不规范操作导致设备损坏，或发生重大安全事故扣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10-100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、操作手法熟练程度。操作手法不规范，熟练程度差扣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5-25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</w:p>
        </w:tc>
      </w:tr>
      <w:tr w:rsidR="00F260FC">
        <w:trPr>
          <w:trHeight w:val="50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、原材料使用合理。原材料剩余过多或废弃扔入垃圾桶扣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5-25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</w:p>
        </w:tc>
      </w:tr>
      <w:tr w:rsidR="00F260FC">
        <w:trPr>
          <w:trHeight w:val="509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F260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FC" w:rsidRDefault="00AC781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、个人仪容仪表。工作服装、帽子穿戴不整洁，留长指甲扣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5-15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</w:tr>
    </w:tbl>
    <w:p w:rsidR="00F260FC" w:rsidRDefault="00F260FC">
      <w:pPr>
        <w:pStyle w:val="a0"/>
      </w:pPr>
    </w:p>
    <w:p w:rsidR="00F260FC" w:rsidRDefault="00F260FC">
      <w:pPr>
        <w:pStyle w:val="a0"/>
      </w:pPr>
    </w:p>
    <w:p w:rsidR="00F260FC" w:rsidRDefault="00F260FC">
      <w:pPr>
        <w:pStyle w:val="a0"/>
      </w:pPr>
    </w:p>
    <w:p w:rsidR="00F260FC" w:rsidRDefault="00F260FC">
      <w:pPr>
        <w:pStyle w:val="a0"/>
      </w:pPr>
    </w:p>
    <w:p w:rsidR="00F260FC" w:rsidRDefault="00F260FC">
      <w:pPr>
        <w:pStyle w:val="a0"/>
      </w:pPr>
    </w:p>
    <w:p w:rsidR="00F260FC" w:rsidRDefault="00F260FC">
      <w:pPr>
        <w:pStyle w:val="a0"/>
      </w:pPr>
    </w:p>
    <w:p w:rsidR="00F260FC" w:rsidRDefault="00F260FC">
      <w:pPr>
        <w:pStyle w:val="a0"/>
      </w:pPr>
    </w:p>
    <w:p w:rsidR="00F260FC" w:rsidRDefault="00F260FC">
      <w:pPr>
        <w:pStyle w:val="a0"/>
      </w:pPr>
    </w:p>
    <w:p w:rsidR="00F260FC" w:rsidRDefault="00F260FC">
      <w:pPr>
        <w:pStyle w:val="a0"/>
      </w:pPr>
    </w:p>
    <w:p w:rsidR="00F260FC" w:rsidRDefault="00AC7817">
      <w:pPr>
        <w:pStyle w:val="a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F260FC" w:rsidRDefault="00F260FC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theme="majorEastAsia"/>
          <w:spacing w:val="-20"/>
          <w:sz w:val="44"/>
          <w:szCs w:val="44"/>
        </w:rPr>
      </w:pPr>
    </w:p>
    <w:p w:rsidR="00F260FC" w:rsidRDefault="00AC7817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theme="majorEastAsia"/>
          <w:spacing w:val="-2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百色财校</w:t>
      </w: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2021</w:t>
      </w: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年深百“粤菜师傅”职业技能</w:t>
      </w:r>
    </w:p>
    <w:p w:rsidR="00F260FC" w:rsidRDefault="00AC7817">
      <w:pPr>
        <w:pStyle w:val="a0"/>
        <w:spacing w:line="580" w:lineRule="exact"/>
        <w:jc w:val="center"/>
        <w:rPr>
          <w:rFonts w:asciiTheme="majorEastAsia" w:eastAsiaTheme="majorEastAsia" w:hAnsiTheme="majorEastAsia" w:cstheme="majorEastAsia"/>
          <w:spacing w:val="-2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竞赛规则</w:t>
      </w:r>
    </w:p>
    <w:p w:rsidR="00F260FC" w:rsidRDefault="00F260FC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实际操作竞赛选手的出场顺序和实操台位置由抽签决定。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参赛选手需提前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分钟凭有效身份证和参赛证进入赛场，对竞赛工具设备进行检查。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开赛迟到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分钟以上者，按自动弃权处理。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参赛选手按赛题完成各竞赛项目，并主动配合裁判员评分。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参赛选手应严格遵守赛场纪律，所有的通讯工具、摄像工具不得带入竞赛现场，对竞赛设施设备应爱护、保管，防止丢失和损坏。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冒名顶替、弄虚作假、作弊者，取消竞赛资格及成绩。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参赛选手须严格遵守安全操作规程及劳动保护要求，接受裁判员、现场技术服务人员的监督和警示，确保设备及人身安全。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比赛过程中如果出现安全事故，裁判员应立即中止竞赛。如查实事故责任属参赛选手，即取消参赛选手竞赛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资格。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F260FC" w:rsidRDefault="00AC7817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（三）赛</w:t>
      </w:r>
      <w:r>
        <w:rPr>
          <w:rFonts w:ascii="楷体_GB2312" w:eastAsia="楷体_GB2312" w:hAnsi="楷体_GB2312" w:cs="楷体_GB2312" w:hint="eastAsia"/>
          <w:sz w:val="32"/>
          <w:szCs w:val="32"/>
        </w:rPr>
        <w:t>场规则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各类赛务人员必须统一佩戴由大赛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执委会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签发的相应证件，着装整齐。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各赛场除现场裁判、赛场配备的工作人员以外，其他人员未经允许不得进入赛场。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新闻媒体等进入赛场必须经过大赛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执委会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允许，并且听从现场工作人员的安排和管理，不能影响竞赛进行。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各参赛队的领队、指导老师以及随行人员一律不得进入赛场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参赛选手在竞赛期间未经</w:t>
      </w:r>
      <w:r>
        <w:rPr>
          <w:rFonts w:ascii="仿宋_GB2312" w:eastAsia="仿宋_GB2312" w:hAnsi="仿宋_GB2312" w:cs="仿宋_GB2312" w:hint="eastAsia"/>
          <w:sz w:val="32"/>
          <w:szCs w:val="32"/>
        </w:rPr>
        <w:t>执委会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批准不得接受其他单位和个人进行的与竞赛内容相关的采访。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参赛选手不得将竞赛的相关情况资料私自公布。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参赛选手在竞赛过程中必须主动配合裁判的工作，服从裁判安排，如果对竞赛的裁决有异议，可按照规定以书面形式向</w:t>
      </w:r>
      <w:r>
        <w:rPr>
          <w:rFonts w:ascii="仿宋_GB2312" w:eastAsia="仿宋_GB2312" w:hAnsi="仿宋_GB2312" w:cs="仿宋_GB2312" w:hint="eastAsia"/>
          <w:sz w:val="32"/>
          <w:szCs w:val="32"/>
        </w:rPr>
        <w:t>执委会申诉受理</w:t>
      </w:r>
      <w:r>
        <w:rPr>
          <w:rFonts w:ascii="仿宋_GB2312" w:eastAsia="仿宋_GB2312" w:hAnsi="仿宋_GB2312" w:cs="仿宋_GB2312" w:hint="eastAsia"/>
          <w:sz w:val="32"/>
          <w:szCs w:val="32"/>
        </w:rPr>
        <w:t>组提出申诉。</w:t>
      </w:r>
    </w:p>
    <w:p w:rsidR="00F260FC" w:rsidRDefault="00AC7817" w:rsidP="0073131C">
      <w:pPr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竞赛现场配备实时监控系统，对现场赛事进行完整的实时监控和录像，并配有专人对比赛环节进行全程录像。</w:t>
      </w:r>
    </w:p>
    <w:p w:rsidR="00F260FC" w:rsidRDefault="00AC7817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（四）赛事安全要求</w:t>
      </w:r>
    </w:p>
    <w:p w:rsidR="00F260FC" w:rsidRDefault="00AC7817" w:rsidP="0073131C">
      <w:pPr>
        <w:autoSpaceDE w:val="0"/>
        <w:spacing w:line="58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由于竞赛涉及用电和使用较锋利的工具，决赛场地设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安全防卫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，负责竞赛期间安全事务。主要包括检查竞赛场地及其周围环境的安全防卫；制定紧急应对方案；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督导竞赛场地用电等相关安全问题；监督与参赛人员食品安全与卫生；分析和处理安全突发事件等工作。赛场配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相应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医疗人员和急救人员，并备有</w:t>
      </w:r>
      <w:r>
        <w:rPr>
          <w:rFonts w:ascii="仿宋_GB2312" w:eastAsia="仿宋_GB2312" w:hAnsi="仿宋_GB2312" w:cs="仿宋_GB2312" w:hint="eastAsia"/>
          <w:sz w:val="32"/>
          <w:szCs w:val="32"/>
        </w:rPr>
        <w:t>常规药品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260FC" w:rsidRDefault="00AC781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加强对竞赛全过程的动态管理，严格按照疫情防控要求制定疫情防控应急处置预案，确保参与人员全部持有效绿码且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天内没有中高风险区活动和接触史，切实做好场地和人员的疫情防控工作，确保竞赛活动安全有序。</w:t>
      </w:r>
    </w:p>
    <w:p w:rsidR="00F260FC" w:rsidRDefault="00F260FC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F260FC" w:rsidRDefault="00F260FC">
      <w:pPr>
        <w:pStyle w:val="a0"/>
      </w:pPr>
      <w:bookmarkStart w:id="0" w:name="_GoBack"/>
      <w:bookmarkEnd w:id="0"/>
    </w:p>
    <w:p w:rsidR="00F260FC" w:rsidRDefault="00AC7817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F260FC" w:rsidRDefault="00F260FC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p w:rsidR="00F260FC" w:rsidRDefault="00AC7817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百色财校</w:t>
      </w:r>
      <w:r>
        <w:rPr>
          <w:rFonts w:ascii="宋体" w:hAnsi="宋体" w:hint="eastAsia"/>
          <w:b/>
          <w:sz w:val="36"/>
          <w:szCs w:val="36"/>
        </w:rPr>
        <w:t>2021</w:t>
      </w:r>
      <w:r>
        <w:rPr>
          <w:rFonts w:ascii="宋体" w:hAnsi="宋体" w:hint="eastAsia"/>
          <w:b/>
          <w:sz w:val="36"/>
          <w:szCs w:val="36"/>
        </w:rPr>
        <w:t>年深百“粤菜师傅”职业技能</w:t>
      </w:r>
      <w:r>
        <w:rPr>
          <w:rFonts w:ascii="宋体" w:hAnsi="宋体" w:hint="eastAsia"/>
          <w:b/>
          <w:sz w:val="36"/>
          <w:szCs w:val="36"/>
        </w:rPr>
        <w:t>竞赛</w:t>
      </w:r>
    </w:p>
    <w:p w:rsidR="00F260FC" w:rsidRDefault="00AC7817">
      <w:pPr>
        <w:spacing w:line="4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参赛选手报名表</w:t>
      </w:r>
    </w:p>
    <w:p w:rsidR="00F260FC" w:rsidRDefault="00AC7817">
      <w:pPr>
        <w:spacing w:line="400" w:lineRule="exact"/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/>
          <w:sz w:val="28"/>
          <w:szCs w:val="28"/>
        </w:rPr>
        <w:t xml:space="preserve">        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800"/>
        <w:gridCol w:w="900"/>
        <w:gridCol w:w="1080"/>
        <w:gridCol w:w="540"/>
        <w:gridCol w:w="540"/>
        <w:gridCol w:w="500"/>
        <w:gridCol w:w="760"/>
        <w:gridCol w:w="1548"/>
      </w:tblGrid>
      <w:tr w:rsidR="00F260FC">
        <w:trPr>
          <w:trHeight w:val="976"/>
          <w:jc w:val="center"/>
        </w:trPr>
        <w:tc>
          <w:tcPr>
            <w:tcW w:w="1260" w:type="dxa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00" w:type="dxa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080" w:type="dxa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</w:t>
            </w:r>
          </w:p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寸</w:t>
            </w:r>
          </w:p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免冠</w:t>
            </w:r>
          </w:p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</w:tr>
      <w:tr w:rsidR="00F260FC">
        <w:trPr>
          <w:jc w:val="center"/>
        </w:trPr>
        <w:tc>
          <w:tcPr>
            <w:tcW w:w="1260" w:type="dxa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800" w:type="dxa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</w:t>
            </w:r>
          </w:p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程度</w:t>
            </w:r>
          </w:p>
        </w:tc>
        <w:tc>
          <w:tcPr>
            <w:tcW w:w="1080" w:type="dxa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</w:t>
            </w:r>
          </w:p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F260FC" w:rsidRDefault="00F260FC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60FC">
        <w:trPr>
          <w:trHeight w:val="663"/>
          <w:jc w:val="center"/>
        </w:trPr>
        <w:tc>
          <w:tcPr>
            <w:tcW w:w="1260" w:type="dxa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身份证</w:t>
            </w:r>
          </w:p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号码</w:t>
            </w:r>
          </w:p>
        </w:tc>
        <w:tc>
          <w:tcPr>
            <w:tcW w:w="7668" w:type="dxa"/>
            <w:gridSpan w:val="8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60FC">
        <w:trPr>
          <w:trHeight w:val="752"/>
          <w:jc w:val="center"/>
        </w:trPr>
        <w:tc>
          <w:tcPr>
            <w:tcW w:w="1260" w:type="dxa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pacing w:val="-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12"/>
                <w:sz w:val="32"/>
                <w:szCs w:val="32"/>
              </w:rPr>
              <w:t>户籍</w:t>
            </w:r>
          </w:p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pacing w:val="-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12"/>
                <w:sz w:val="32"/>
                <w:szCs w:val="32"/>
              </w:rPr>
              <w:t>所在地</w:t>
            </w:r>
          </w:p>
        </w:tc>
        <w:tc>
          <w:tcPr>
            <w:tcW w:w="7668" w:type="dxa"/>
            <w:gridSpan w:val="8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60FC">
        <w:trPr>
          <w:jc w:val="center"/>
        </w:trPr>
        <w:tc>
          <w:tcPr>
            <w:tcW w:w="1260" w:type="dxa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</w:t>
            </w:r>
          </w:p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7668" w:type="dxa"/>
            <w:gridSpan w:val="8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60FC">
        <w:trPr>
          <w:trHeight w:val="702"/>
          <w:jc w:val="center"/>
        </w:trPr>
        <w:tc>
          <w:tcPr>
            <w:tcW w:w="1260" w:type="dxa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现有职业资格等级</w:t>
            </w:r>
          </w:p>
        </w:tc>
        <w:tc>
          <w:tcPr>
            <w:tcW w:w="4320" w:type="dxa"/>
            <w:gridSpan w:val="4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参赛</w:t>
            </w:r>
          </w:p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</w:tc>
        <w:tc>
          <w:tcPr>
            <w:tcW w:w="2308" w:type="dxa"/>
            <w:gridSpan w:val="2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60FC">
        <w:trPr>
          <w:trHeight w:val="1459"/>
          <w:jc w:val="center"/>
        </w:trPr>
        <w:tc>
          <w:tcPr>
            <w:tcW w:w="1260" w:type="dxa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pacing w:val="-1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18"/>
                <w:sz w:val="32"/>
                <w:szCs w:val="32"/>
              </w:rPr>
              <w:t>曾获得的奖励荣誉</w:t>
            </w:r>
          </w:p>
        </w:tc>
        <w:tc>
          <w:tcPr>
            <w:tcW w:w="7668" w:type="dxa"/>
            <w:gridSpan w:val="8"/>
            <w:vAlign w:val="center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60FC">
        <w:trPr>
          <w:trHeight w:val="1476"/>
          <w:jc w:val="center"/>
        </w:trPr>
        <w:tc>
          <w:tcPr>
            <w:tcW w:w="1260" w:type="dxa"/>
            <w:vAlign w:val="center"/>
          </w:tcPr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工作</w:t>
            </w:r>
          </w:p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或所在社区</w:t>
            </w:r>
          </w:p>
          <w:p w:rsidR="00F260FC" w:rsidRDefault="00AC78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668" w:type="dxa"/>
            <w:gridSpan w:val="8"/>
          </w:tcPr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260FC" w:rsidRDefault="00F260F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260FC" w:rsidRDefault="00AC7817">
            <w:pPr>
              <w:spacing w:line="400" w:lineRule="exact"/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F260FC" w:rsidRDefault="00AC781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</w:p>
        </w:tc>
      </w:tr>
      <w:tr w:rsidR="00F260FC">
        <w:trPr>
          <w:trHeight w:val="2374"/>
          <w:jc w:val="center"/>
        </w:trPr>
        <w:tc>
          <w:tcPr>
            <w:tcW w:w="1260" w:type="dxa"/>
            <w:vAlign w:val="center"/>
          </w:tcPr>
          <w:p w:rsidR="00F260FC" w:rsidRDefault="00AC7817">
            <w:pPr>
              <w:spacing w:line="570" w:lineRule="exact"/>
              <w:rPr>
                <w:rFonts w:ascii="仿宋" w:eastAsia="仿宋" w:hAnsi="仿宋"/>
                <w:spacing w:val="-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12"/>
                <w:sz w:val="32"/>
                <w:szCs w:val="32"/>
              </w:rPr>
              <w:t>组委会意见</w:t>
            </w:r>
          </w:p>
        </w:tc>
        <w:tc>
          <w:tcPr>
            <w:tcW w:w="7668" w:type="dxa"/>
            <w:gridSpan w:val="8"/>
          </w:tcPr>
          <w:p w:rsidR="00F260FC" w:rsidRDefault="00F260FC">
            <w:pPr>
              <w:spacing w:line="57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260FC" w:rsidRDefault="00F260FC">
            <w:pPr>
              <w:spacing w:line="57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260FC" w:rsidRDefault="00AC7817">
            <w:pPr>
              <w:spacing w:line="570" w:lineRule="exact"/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F260FC" w:rsidRDefault="00AC7817">
            <w:pPr>
              <w:spacing w:line="57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</w:p>
        </w:tc>
      </w:tr>
    </w:tbl>
    <w:p w:rsidR="00F260FC" w:rsidRDefault="00F260FC">
      <w:pPr>
        <w:spacing w:line="570" w:lineRule="exact"/>
        <w:rPr>
          <w:rFonts w:ascii="仿宋_GB2312" w:eastAsia="仿宋_GB2312"/>
          <w:sz w:val="32"/>
          <w:szCs w:val="32"/>
        </w:rPr>
      </w:pPr>
    </w:p>
    <w:sectPr w:rsidR="00F260FC" w:rsidSect="00F260FC">
      <w:footerReference w:type="even" r:id="rId8"/>
      <w:footerReference w:type="default" r:id="rId9"/>
      <w:footerReference w:type="first" r:id="rId10"/>
      <w:pgSz w:w="11906" w:h="16838"/>
      <w:pgMar w:top="1418" w:right="1644" w:bottom="1418" w:left="1644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17" w:rsidRDefault="00AC7817" w:rsidP="00F260FC">
      <w:r>
        <w:separator/>
      </w:r>
    </w:p>
  </w:endnote>
  <w:endnote w:type="continuationSeparator" w:id="0">
    <w:p w:rsidR="00AC7817" w:rsidRDefault="00AC7817" w:rsidP="00F2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FC" w:rsidRDefault="00F260FC">
    <w:pPr>
      <w:pStyle w:val="a0"/>
      <w:framePr w:wrap="around" w:vAnchor="text" w:hAnchor="margin" w:xAlign="outside" w:y="1"/>
      <w:rPr>
        <w:rStyle w:val="a6"/>
        <w:sz w:val="32"/>
        <w:szCs w:val="32"/>
      </w:rPr>
    </w:pPr>
    <w:r>
      <w:rPr>
        <w:rStyle w:val="a6"/>
        <w:sz w:val="32"/>
        <w:szCs w:val="32"/>
      </w:rPr>
      <w:fldChar w:fldCharType="begin"/>
    </w:r>
    <w:r w:rsidR="00AC7817">
      <w:rPr>
        <w:rStyle w:val="a6"/>
        <w:sz w:val="32"/>
        <w:szCs w:val="32"/>
      </w:rPr>
      <w:instrText xml:space="preserve">PAGE  </w:instrText>
    </w:r>
    <w:r>
      <w:rPr>
        <w:rStyle w:val="a6"/>
        <w:sz w:val="32"/>
        <w:szCs w:val="32"/>
      </w:rPr>
      <w:fldChar w:fldCharType="separate"/>
    </w:r>
    <w:r w:rsidR="0073131C">
      <w:rPr>
        <w:rStyle w:val="a6"/>
        <w:noProof/>
        <w:sz w:val="32"/>
        <w:szCs w:val="32"/>
      </w:rPr>
      <w:t>- 2 -</w:t>
    </w:r>
    <w:r>
      <w:rPr>
        <w:rStyle w:val="a6"/>
        <w:sz w:val="32"/>
        <w:szCs w:val="32"/>
      </w:rPr>
      <w:fldChar w:fldCharType="end"/>
    </w:r>
  </w:p>
  <w:p w:rsidR="00F260FC" w:rsidRDefault="00F260FC">
    <w:pPr>
      <w:pStyle w:val="a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FC" w:rsidRDefault="00F260FC">
    <w:pPr>
      <w:pStyle w:val="a0"/>
      <w:jc w:val="right"/>
      <w:rPr>
        <w:lang w:val="zh-CN"/>
      </w:rPr>
    </w:pPr>
  </w:p>
  <w:p w:rsidR="00F260FC" w:rsidRDefault="00AC7817">
    <w:pPr>
      <w:pStyle w:val="a0"/>
      <w:jc w:val="right"/>
    </w:pPr>
    <w:r>
      <w:rPr>
        <w:sz w:val="32"/>
        <w:szCs w:val="32"/>
        <w:lang w:val="zh-CN"/>
      </w:rPr>
      <w:t xml:space="preserve"> </w:t>
    </w:r>
    <w:r w:rsidR="00F260FC"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 w:rsidR="00F260FC">
      <w:rPr>
        <w:sz w:val="32"/>
        <w:szCs w:val="32"/>
      </w:rPr>
      <w:fldChar w:fldCharType="separate"/>
    </w:r>
    <w:r w:rsidR="0073131C" w:rsidRPr="0073131C">
      <w:rPr>
        <w:noProof/>
        <w:sz w:val="32"/>
        <w:szCs w:val="32"/>
        <w:lang w:val="zh-CN"/>
      </w:rPr>
      <w:t>-</w:t>
    </w:r>
    <w:r w:rsidR="0073131C">
      <w:rPr>
        <w:noProof/>
        <w:sz w:val="32"/>
        <w:szCs w:val="32"/>
      </w:rPr>
      <w:t xml:space="preserve"> 9 -</w:t>
    </w:r>
    <w:r w:rsidR="00F260FC">
      <w:rPr>
        <w:sz w:val="32"/>
        <w:szCs w:val="32"/>
      </w:rPr>
      <w:fldChar w:fldCharType="end"/>
    </w:r>
    <w:r>
      <w:rPr>
        <w:lang w:val="zh-CN"/>
      </w:rPr>
      <w:t xml:space="preserve"> </w:t>
    </w:r>
  </w:p>
  <w:p w:rsidR="00F260FC" w:rsidRDefault="00F260FC">
    <w:pPr>
      <w:pStyle w:val="a0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FC" w:rsidRDefault="00F260FC">
    <w:pPr>
      <w:pStyle w:val="a0"/>
      <w:jc w:val="right"/>
      <w:rPr>
        <w:sz w:val="32"/>
        <w:szCs w:val="32"/>
      </w:rPr>
    </w:pPr>
    <w:r>
      <w:rPr>
        <w:sz w:val="32"/>
        <w:szCs w:val="32"/>
      </w:rPr>
      <w:fldChar w:fldCharType="begin"/>
    </w:r>
    <w:r w:rsidR="00AC7817"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73131C" w:rsidRPr="0073131C">
      <w:rPr>
        <w:noProof/>
        <w:sz w:val="32"/>
        <w:szCs w:val="32"/>
        <w:lang w:val="zh-CN"/>
      </w:rPr>
      <w:t>-</w:t>
    </w:r>
    <w:r w:rsidR="0073131C">
      <w:rPr>
        <w:noProof/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17" w:rsidRDefault="00AC7817" w:rsidP="00F260FC">
      <w:r>
        <w:separator/>
      </w:r>
    </w:p>
  </w:footnote>
  <w:footnote w:type="continuationSeparator" w:id="0">
    <w:p w:rsidR="00AC7817" w:rsidRDefault="00AC7817" w:rsidP="00F26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639B"/>
    <w:multiLevelType w:val="singleLevel"/>
    <w:tmpl w:val="60AC639B"/>
    <w:lvl w:ilvl="0">
      <w:start w:val="1"/>
      <w:numFmt w:val="decimal"/>
      <w:suff w:val="nothing"/>
      <w:lvlText w:val="%1."/>
      <w:lvlJc w:val="left"/>
    </w:lvl>
  </w:abstractNum>
  <w:abstractNum w:abstractNumId="1">
    <w:nsid w:val="6A3AEB64"/>
    <w:multiLevelType w:val="singleLevel"/>
    <w:tmpl w:val="6A3AEB64"/>
    <w:lvl w:ilvl="0">
      <w:start w:val="2"/>
      <w:numFmt w:val="decimal"/>
      <w:lvlText w:val="%1."/>
      <w:lvlJc w:val="left"/>
      <w:pPr>
        <w:tabs>
          <w:tab w:val="left" w:pos="312"/>
        </w:tabs>
        <w:ind w:left="745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D83"/>
    <w:rsid w:val="00001F56"/>
    <w:rsid w:val="0000404E"/>
    <w:rsid w:val="00035EF7"/>
    <w:rsid w:val="00037B56"/>
    <w:rsid w:val="0004124F"/>
    <w:rsid w:val="00046A9D"/>
    <w:rsid w:val="0005794D"/>
    <w:rsid w:val="0006145B"/>
    <w:rsid w:val="00071973"/>
    <w:rsid w:val="000B56D4"/>
    <w:rsid w:val="00100AE6"/>
    <w:rsid w:val="001040B5"/>
    <w:rsid w:val="0011160E"/>
    <w:rsid w:val="00181C00"/>
    <w:rsid w:val="0018716F"/>
    <w:rsid w:val="001B6C46"/>
    <w:rsid w:val="002026C7"/>
    <w:rsid w:val="00203F01"/>
    <w:rsid w:val="00206CEC"/>
    <w:rsid w:val="00211783"/>
    <w:rsid w:val="00215D2D"/>
    <w:rsid w:val="00217F6C"/>
    <w:rsid w:val="002218E6"/>
    <w:rsid w:val="002853BA"/>
    <w:rsid w:val="00290F18"/>
    <w:rsid w:val="002A5B94"/>
    <w:rsid w:val="002E6B9C"/>
    <w:rsid w:val="00303D7E"/>
    <w:rsid w:val="0031447C"/>
    <w:rsid w:val="00321185"/>
    <w:rsid w:val="0033685D"/>
    <w:rsid w:val="003444C8"/>
    <w:rsid w:val="00357275"/>
    <w:rsid w:val="00357615"/>
    <w:rsid w:val="00362935"/>
    <w:rsid w:val="003A44F5"/>
    <w:rsid w:val="003D0E09"/>
    <w:rsid w:val="00414A10"/>
    <w:rsid w:val="004548B5"/>
    <w:rsid w:val="004765B6"/>
    <w:rsid w:val="004A09F4"/>
    <w:rsid w:val="004B2600"/>
    <w:rsid w:val="004C305D"/>
    <w:rsid w:val="004C6A7E"/>
    <w:rsid w:val="004D7B0B"/>
    <w:rsid w:val="0051450A"/>
    <w:rsid w:val="0051487D"/>
    <w:rsid w:val="005179A3"/>
    <w:rsid w:val="00556EDD"/>
    <w:rsid w:val="005835FE"/>
    <w:rsid w:val="00591482"/>
    <w:rsid w:val="0059369E"/>
    <w:rsid w:val="00594932"/>
    <w:rsid w:val="005B104A"/>
    <w:rsid w:val="005D2489"/>
    <w:rsid w:val="005E18C9"/>
    <w:rsid w:val="005F2237"/>
    <w:rsid w:val="00605057"/>
    <w:rsid w:val="00605A74"/>
    <w:rsid w:val="006156CF"/>
    <w:rsid w:val="006332D5"/>
    <w:rsid w:val="00645E39"/>
    <w:rsid w:val="00661B55"/>
    <w:rsid w:val="00677D80"/>
    <w:rsid w:val="00682531"/>
    <w:rsid w:val="006C1907"/>
    <w:rsid w:val="006C1DB6"/>
    <w:rsid w:val="006C5CCB"/>
    <w:rsid w:val="006C5D83"/>
    <w:rsid w:val="006C5EC2"/>
    <w:rsid w:val="006E79C7"/>
    <w:rsid w:val="006F5089"/>
    <w:rsid w:val="00703FEB"/>
    <w:rsid w:val="00710088"/>
    <w:rsid w:val="00715C59"/>
    <w:rsid w:val="00726432"/>
    <w:rsid w:val="0073131C"/>
    <w:rsid w:val="00740E78"/>
    <w:rsid w:val="00742612"/>
    <w:rsid w:val="0075124D"/>
    <w:rsid w:val="00762F7C"/>
    <w:rsid w:val="00773278"/>
    <w:rsid w:val="00774D1E"/>
    <w:rsid w:val="007A60EE"/>
    <w:rsid w:val="007B2C2F"/>
    <w:rsid w:val="007D319B"/>
    <w:rsid w:val="007E532E"/>
    <w:rsid w:val="007E5B78"/>
    <w:rsid w:val="007E5D85"/>
    <w:rsid w:val="007F38EE"/>
    <w:rsid w:val="008048A7"/>
    <w:rsid w:val="0081712A"/>
    <w:rsid w:val="008208B1"/>
    <w:rsid w:val="00821577"/>
    <w:rsid w:val="00823C70"/>
    <w:rsid w:val="00826B12"/>
    <w:rsid w:val="008334B9"/>
    <w:rsid w:val="00852E22"/>
    <w:rsid w:val="00891FF0"/>
    <w:rsid w:val="008B0734"/>
    <w:rsid w:val="008C57C1"/>
    <w:rsid w:val="008E4AA5"/>
    <w:rsid w:val="009018CC"/>
    <w:rsid w:val="00904B59"/>
    <w:rsid w:val="0092192D"/>
    <w:rsid w:val="0092681E"/>
    <w:rsid w:val="009308F9"/>
    <w:rsid w:val="00936AD6"/>
    <w:rsid w:val="00954684"/>
    <w:rsid w:val="009816EB"/>
    <w:rsid w:val="009935B2"/>
    <w:rsid w:val="00997F1A"/>
    <w:rsid w:val="009B3495"/>
    <w:rsid w:val="009C152E"/>
    <w:rsid w:val="009D1534"/>
    <w:rsid w:val="009D1CC6"/>
    <w:rsid w:val="009E0DF2"/>
    <w:rsid w:val="009E4608"/>
    <w:rsid w:val="009E705E"/>
    <w:rsid w:val="009F028D"/>
    <w:rsid w:val="00A1407E"/>
    <w:rsid w:val="00A73E22"/>
    <w:rsid w:val="00AA3DD3"/>
    <w:rsid w:val="00AC4352"/>
    <w:rsid w:val="00AC7817"/>
    <w:rsid w:val="00AE3867"/>
    <w:rsid w:val="00AF4A22"/>
    <w:rsid w:val="00B1043C"/>
    <w:rsid w:val="00B50A51"/>
    <w:rsid w:val="00B82604"/>
    <w:rsid w:val="00BA6443"/>
    <w:rsid w:val="00BC08A0"/>
    <w:rsid w:val="00BD5D6A"/>
    <w:rsid w:val="00C017E9"/>
    <w:rsid w:val="00C27168"/>
    <w:rsid w:val="00C42DBE"/>
    <w:rsid w:val="00C70001"/>
    <w:rsid w:val="00C83EED"/>
    <w:rsid w:val="00C8785D"/>
    <w:rsid w:val="00CD0097"/>
    <w:rsid w:val="00D01215"/>
    <w:rsid w:val="00D16979"/>
    <w:rsid w:val="00D635F6"/>
    <w:rsid w:val="00D86F32"/>
    <w:rsid w:val="00DA7C75"/>
    <w:rsid w:val="00DC3386"/>
    <w:rsid w:val="00DF7DE5"/>
    <w:rsid w:val="00E27659"/>
    <w:rsid w:val="00E47B24"/>
    <w:rsid w:val="00E656F0"/>
    <w:rsid w:val="00E65E6E"/>
    <w:rsid w:val="00EC3B38"/>
    <w:rsid w:val="00ED0A90"/>
    <w:rsid w:val="00EF71BF"/>
    <w:rsid w:val="00F009C2"/>
    <w:rsid w:val="00F16B9F"/>
    <w:rsid w:val="00F260FC"/>
    <w:rsid w:val="00F37D03"/>
    <w:rsid w:val="00F51070"/>
    <w:rsid w:val="00F544E5"/>
    <w:rsid w:val="00F71A1E"/>
    <w:rsid w:val="00F93608"/>
    <w:rsid w:val="00FA75EB"/>
    <w:rsid w:val="00FB4D56"/>
    <w:rsid w:val="00FC3090"/>
    <w:rsid w:val="00FD0BF3"/>
    <w:rsid w:val="00FD3F14"/>
    <w:rsid w:val="00FD5503"/>
    <w:rsid w:val="11BD092B"/>
    <w:rsid w:val="36CA6540"/>
    <w:rsid w:val="3CE407AB"/>
    <w:rsid w:val="3D54177C"/>
    <w:rsid w:val="3DDC0C0E"/>
    <w:rsid w:val="6C2475D1"/>
    <w:rsid w:val="6CA7135C"/>
    <w:rsid w:val="75CF40AD"/>
    <w:rsid w:val="7FF2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60F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qFormat/>
    <w:rsid w:val="00F260F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Balloon Text"/>
    <w:basedOn w:val="a"/>
    <w:link w:val="Char0"/>
    <w:uiPriority w:val="99"/>
    <w:semiHidden/>
    <w:qFormat/>
    <w:rsid w:val="00F260FC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F26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6">
    <w:name w:val="page number"/>
    <w:basedOn w:val="a1"/>
    <w:uiPriority w:val="99"/>
    <w:qFormat/>
    <w:rsid w:val="00F260FC"/>
    <w:rPr>
      <w:rFonts w:cs="Times New Roman"/>
    </w:rPr>
  </w:style>
  <w:style w:type="character" w:styleId="a7">
    <w:name w:val="Hyperlink"/>
    <w:basedOn w:val="a1"/>
    <w:uiPriority w:val="99"/>
    <w:qFormat/>
    <w:rsid w:val="00F260FC"/>
    <w:rPr>
      <w:rFonts w:cs="Times New Roman"/>
      <w:color w:val="0000FF"/>
      <w:u w:val="single"/>
    </w:rPr>
  </w:style>
  <w:style w:type="character" w:customStyle="1" w:styleId="Char1">
    <w:name w:val="页眉 Char"/>
    <w:basedOn w:val="a1"/>
    <w:link w:val="a5"/>
    <w:uiPriority w:val="99"/>
    <w:semiHidden/>
    <w:qFormat/>
    <w:locked/>
    <w:rsid w:val="00F260FC"/>
    <w:rPr>
      <w:rFonts w:cs="Times New Roman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locked/>
    <w:rsid w:val="00F260FC"/>
    <w:rPr>
      <w:rFonts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locked/>
    <w:rsid w:val="00F260F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F260FC"/>
    <w:pPr>
      <w:ind w:firstLineChars="200" w:firstLine="420"/>
    </w:pPr>
  </w:style>
  <w:style w:type="table" w:customStyle="1" w:styleId="TableNormal">
    <w:name w:val="Table Normal"/>
    <w:unhideWhenUsed/>
    <w:qFormat/>
    <w:rsid w:val="00F260F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578</Words>
  <Characters>3301</Characters>
  <Application>Microsoft Office Word</Application>
  <DocSecurity>0</DocSecurity>
  <Lines>27</Lines>
  <Paragraphs>7</Paragraphs>
  <ScaleCrop>false</ScaleCrop>
  <Company>CHINA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百色市农民工工作和统筹城乡</dc:title>
  <dc:creator>pc</dc:creator>
  <cp:lastModifiedBy>dreamsummit</cp:lastModifiedBy>
  <cp:revision>2</cp:revision>
  <cp:lastPrinted>2018-07-09T08:13:00Z</cp:lastPrinted>
  <dcterms:created xsi:type="dcterms:W3CDTF">2021-11-25T11:06:00Z</dcterms:created>
  <dcterms:modified xsi:type="dcterms:W3CDTF">2021-11-25T11:06:00Z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